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Calibri" w:cs="Calibri" w:eastAsia="Calibri" w:hAnsi="Calibri"/>
          <w:b/>
          <w:bCs/>
          <w:color w:val="1D4ED8"/>
          <w:sz w:val="32"/>
          <w:szCs w:val="32"/>
        </w:rPr>
        <w:t xml:space="preserve">SESIÓN DE APRENDIZAJE</w:t>
      </w:r>
    </w:p>
    <w:p>
      <w:pPr>
        <w:spacing w:after="240"/>
        <w:jc w:val="center"/>
      </w:pPr>
      <w:r>
        <w:rPr>
          <w:rFonts w:ascii="Calibri" w:cs="Calibri" w:eastAsia="Calibri" w:hAnsi="Calibri"/>
          <w:b/>
          <w:bCs/>
          <w:sz w:val="28"/>
          <w:szCs w:val="28"/>
        </w:rPr>
        <w:t xml:space="preserve">Defendemos los derechos del niño en el Perú</w:t>
      </w:r>
    </w:p>
    <w:p>
      <w:pPr>
        <w:spacing w:after="120"/>
      </w:pPr>
      <w:r>
        <w:rPr>
          <w:rFonts w:ascii="Calibri" w:cs="Calibri" w:eastAsia="Calibri" w:hAnsi="Calibri"/>
          <w:b/>
          <w:bCs/>
          <w:color w:val="1D4ED8"/>
          <w:sz w:val="26"/>
          <w:szCs w:val="26"/>
        </w:rPr>
        <w:t xml:space="preserve">I. DATOS INFORMATIVOS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Institución Educativa</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Docente</w:t>
            </w:r>
          </w:p>
        </w:tc>
        <w:tc>
          <w:tcPr>
            <w:tcW w:type="pct" w:w="70%"/>
            <w:tcMar>
              <w:top w:type="dxa" w:w="60"/>
              <w:left w:type="dxa" w:w="100"/>
              <w:bottom w:type="dxa" w:w="60"/>
              <w:right w:type="dxa" w:w="100"/>
            </w:tcMar>
          </w:tcPr>
          <w:p>
            <w:r>
              <w:rPr>
                <w:rFonts w:ascii="Calibri" w:cs="Calibri" w:eastAsia="Calibri" w:hAnsi="Calibri"/>
                <w:sz w:val="22"/>
                <w:szCs w:val="22"/>
              </w:rPr>
              <w:t xml:space="preserve">_______________________________________</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Nivel</w:t>
            </w:r>
          </w:p>
        </w:tc>
        <w:tc>
          <w:tcPr>
            <w:tcW w:type="pct" w:w="70%"/>
            <w:tcMar>
              <w:top w:type="dxa" w:w="60"/>
              <w:left w:type="dxa" w:w="100"/>
              <w:bottom w:type="dxa" w:w="60"/>
              <w:right w:type="dxa" w:w="100"/>
            </w:tcMar>
          </w:tcPr>
          <w:p>
            <w:r>
              <w:rPr>
                <w:rFonts w:ascii="Calibri" w:cs="Calibri" w:eastAsia="Calibri" w:hAnsi="Calibri"/>
                <w:sz w:val="22"/>
                <w:szCs w:val="22"/>
              </w:rPr>
              <w:t xml:space="preserve">Primaria</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Grado</w:t>
            </w:r>
          </w:p>
        </w:tc>
        <w:tc>
          <w:tcPr>
            <w:tcW w:type="pct" w:w="70%"/>
            <w:tcMar>
              <w:top w:type="dxa" w:w="60"/>
              <w:left w:type="dxa" w:w="100"/>
              <w:bottom w:type="dxa" w:w="60"/>
              <w:right w:type="dxa" w:w="100"/>
            </w:tcMar>
          </w:tcPr>
          <w:p>
            <w:r>
              <w:rPr>
                <w:rFonts w:ascii="Calibri" w:cs="Calibri" w:eastAsia="Calibri" w:hAnsi="Calibri"/>
                <w:sz w:val="22"/>
                <w:szCs w:val="22"/>
              </w:rPr>
              <w:t xml:space="preserve">6to grado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Área</w:t>
            </w:r>
          </w:p>
        </w:tc>
        <w:tc>
          <w:tcPr>
            <w:tcW w:type="pct" w:w="70%"/>
            <w:tcMar>
              <w:top w:type="dxa" w:w="60"/>
              <w:left w:type="dxa" w:w="100"/>
              <w:bottom w:type="dxa" w:w="60"/>
              <w:right w:type="dxa" w:w="100"/>
            </w:tcMar>
          </w:tcPr>
          <w:p>
            <w:r>
              <w:rPr>
                <w:rFonts w:ascii="Calibri" w:cs="Calibri" w:eastAsia="Calibri" w:hAnsi="Calibri"/>
                <w:sz w:val="22"/>
                <w:szCs w:val="22"/>
              </w:rPr>
              <w:t xml:space="preserve">Personal Social</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Duración</w:t>
            </w:r>
          </w:p>
        </w:tc>
        <w:tc>
          <w:tcPr>
            <w:tcW w:type="pct" w:w="70%"/>
            <w:tcMar>
              <w:top w:type="dxa" w:w="60"/>
              <w:left w:type="dxa" w:w="100"/>
              <w:bottom w:type="dxa" w:w="60"/>
              <w:right w:type="dxa" w:w="100"/>
            </w:tcMar>
          </w:tcPr>
          <w:p>
            <w:r>
              <w:rPr>
                <w:rFonts w:ascii="Calibri" w:cs="Calibri" w:eastAsia="Calibri" w:hAnsi="Calibri"/>
                <w:sz w:val="22"/>
                <w:szCs w:val="22"/>
              </w:rPr>
              <w:t xml:space="preserve">90 min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Fecha</w:t>
            </w:r>
          </w:p>
        </w:tc>
        <w:tc>
          <w:tcPr>
            <w:tcW w:type="pct" w:w="70%"/>
            <w:tcMar>
              <w:top w:type="dxa" w:w="60"/>
              <w:left w:type="dxa" w:w="100"/>
              <w:bottom w:type="dxa" w:w="60"/>
              <w:right w:type="dxa" w:w="100"/>
            </w:tcMar>
          </w:tcPr>
          <w:p>
            <w:r>
              <w:rPr>
                <w:rFonts w:ascii="Calibri" w:cs="Calibri" w:eastAsia="Calibri" w:hAnsi="Calibri"/>
                <w:sz w:val="22"/>
                <w:szCs w:val="22"/>
              </w:rPr>
              <w:t xml:space="preserve">____ / ____ / 2026</w:t>
            </w:r>
          </w:p>
        </w:tc>
      </w:tr>
    </w:tbl>
    <w:p/>
    <w:p>
      <w:pPr>
        <w:spacing w:after="120" w:before="120"/>
      </w:pPr>
      <w:r>
        <w:rPr>
          <w:rFonts w:ascii="Calibri" w:cs="Calibri" w:eastAsia="Calibri" w:hAnsi="Calibri"/>
          <w:b/>
          <w:bCs/>
          <w:color w:val="1D4ED8"/>
          <w:sz w:val="26"/>
          <w:szCs w:val="26"/>
        </w:rPr>
        <w:t xml:space="preserve">II. PROPÓSITOS DE APRENDIZAJE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Competencia</w:t>
            </w:r>
          </w:p>
        </w:tc>
        <w:tc>
          <w:tcPr>
            <w:tcW w:type="pct" w:w="70%"/>
            <w:tcMar>
              <w:top w:type="dxa" w:w="60"/>
              <w:left w:type="dxa" w:w="100"/>
              <w:bottom w:type="dxa" w:w="60"/>
              <w:right w:type="dxa" w:w="100"/>
            </w:tcMar>
          </w:tcPr>
          <w:p>
            <w:r>
              <w:rPr>
                <w:rFonts w:ascii="Calibri" w:cs="Calibri" w:eastAsia="Calibri" w:hAnsi="Calibri"/>
                <w:sz w:val="22"/>
                <w:szCs w:val="22"/>
              </w:rPr>
              <w:t xml:space="preserve">Convive y participa democráticamente en la búsqueda del bien común.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Capacidades</w:t>
            </w:r>
          </w:p>
        </w:tc>
        <w:tc>
          <w:tcPr>
            <w:tcW w:type="pct" w:w="70%"/>
            <w:tcMar>
              <w:top w:type="dxa" w:w="60"/>
              <w:left w:type="dxa" w:w="100"/>
              <w:bottom w:type="dxa" w:w="60"/>
              <w:right w:type="dxa" w:w="100"/>
            </w:tcMar>
          </w:tcPr>
          <w:p>
            <w:r>
              <w:rPr>
                <w:rFonts w:ascii="Calibri" w:cs="Calibri" w:eastAsia="Calibri" w:hAnsi="Calibri"/>
                <w:sz w:val="22"/>
                <w:szCs w:val="22"/>
              </w:rPr>
              <w:t xml:space="preserve">• Construye y asume acuerdos y normas.
• Delibera sobre asuntos públicos.
• Participa en acciones que promueven el bienestar común.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Desempeños</w:t>
            </w:r>
          </w:p>
        </w:tc>
        <w:tc>
          <w:tcPr>
            <w:tcW w:type="pct" w:w="70%"/>
            <w:tcMar>
              <w:top w:type="dxa" w:w="60"/>
              <w:left w:type="dxa" w:w="100"/>
              <w:bottom w:type="dxa" w:w="60"/>
              <w:right w:type="dxa" w:w="100"/>
            </w:tcMar>
          </w:tcPr>
          <w:p>
            <w:r>
              <w:rPr>
                <w:rFonts w:ascii="Calibri" w:cs="Calibri" w:eastAsia="Calibri" w:hAnsi="Calibri"/>
                <w:sz w:val="22"/>
                <w:szCs w:val="22"/>
              </w:rPr>
              <w:t xml:space="preserve">• Delibera sobre asuntos públicos cuando sustenta su posición con argumentos y considera otras opiniones.</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Criterios de evaluación</w:t>
            </w:r>
          </w:p>
        </w:tc>
        <w:tc>
          <w:tcPr>
            <w:tcW w:type="pct" w:w="70%"/>
            <w:tcMar>
              <w:top w:type="dxa" w:w="60"/>
              <w:left w:type="dxa" w:w="100"/>
              <w:bottom w:type="dxa" w:w="60"/>
              <w:right w:type="dxa" w:w="100"/>
            </w:tcMar>
          </w:tcPr>
          <w:p>
            <w:r>
              <w:rPr>
                <w:rFonts w:ascii="Calibri" w:cs="Calibri" w:eastAsia="Calibri" w:hAnsi="Calibri"/>
                <w:sz w:val="22"/>
                <w:szCs w:val="22"/>
              </w:rPr>
              <w:t xml:space="preserve">• Identifica al menos 5 derechos del niño establecidos en la Convención.
• Reconoce situaciones de vulneración de derechos en el contexto peruano.
• Propone acciones concretas para defender derechos del niño.</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Evidencia</w:t>
            </w:r>
          </w:p>
        </w:tc>
        <w:tc>
          <w:tcPr>
            <w:tcW w:type="pct" w:w="70%"/>
            <w:tcMar>
              <w:top w:type="dxa" w:w="60"/>
              <w:left w:type="dxa" w:w="100"/>
              <w:bottom w:type="dxa" w:w="60"/>
              <w:right w:type="dxa" w:w="100"/>
            </w:tcMar>
          </w:tcPr>
          <w:p>
            <w:r>
              <w:rPr>
                <w:rFonts w:ascii="Calibri" w:cs="Calibri" w:eastAsia="Calibri" w:hAnsi="Calibri"/>
                <w:sz w:val="22"/>
                <w:szCs w:val="22"/>
              </w:rPr>
              <w:t xml:space="preserve">Cartel del aula con derechos identificados + plan de acción individual.</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Instrumento</w:t>
            </w:r>
          </w:p>
        </w:tc>
        <w:tc>
          <w:tcPr>
            <w:tcW w:type="pct" w:w="70%"/>
            <w:tcMar>
              <w:top w:type="dxa" w:w="60"/>
              <w:left w:type="dxa" w:w="100"/>
              <w:bottom w:type="dxa" w:w="60"/>
              <w:right w:type="dxa" w:w="100"/>
            </w:tcMar>
          </w:tcPr>
          <w:p>
            <w:r>
              <w:rPr>
                <w:rFonts w:ascii="Calibri" w:cs="Calibri" w:eastAsia="Calibri" w:hAnsi="Calibri"/>
                <w:sz w:val="22"/>
                <w:szCs w:val="22"/>
              </w:rPr>
              <w:t xml:space="preserve">Rúbrica de deliberación</w:t>
            </w:r>
          </w:p>
        </w:tc>
      </w:tr>
      <w:tr>
        <w:tc>
          <w:tcPr>
            <w:tcW w:type="pct" w:w="30%"/>
            <w:shd w:fill="F1F5F9"/>
            <w:tcMar>
              <w:top w:type="dxa" w:w="60"/>
              <w:left w:type="dxa" w:w="100"/>
              <w:bottom w:type="dxa" w:w="60"/>
              <w:right w:type="dxa" w:w="100"/>
            </w:tcMar>
          </w:tcPr>
          <w:p>
            <w:r>
              <w:rPr>
                <w:rFonts w:ascii="Calibri" w:cs="Calibri" w:eastAsia="Calibri" w:hAnsi="Calibri"/>
                <w:b/>
                <w:bCs/>
                <w:sz w:val="22"/>
                <w:szCs w:val="22"/>
              </w:rPr>
              <w:t xml:space="preserve">Enfoques transversales</w:t>
            </w:r>
          </w:p>
        </w:tc>
        <w:tc>
          <w:tcPr>
            <w:tcW w:type="pct" w:w="70%"/>
            <w:tcMar>
              <w:top w:type="dxa" w:w="60"/>
              <w:left w:type="dxa" w:w="100"/>
              <w:bottom w:type="dxa" w:w="60"/>
              <w:right w:type="dxa" w:w="100"/>
            </w:tcMar>
          </w:tcPr>
          <w:p>
            <w:r>
              <w:rPr>
                <w:rFonts w:ascii="Calibri" w:cs="Calibri" w:eastAsia="Calibri" w:hAnsi="Calibri"/>
                <w:sz w:val="22"/>
                <w:szCs w:val="22"/>
              </w:rPr>
              <w:t xml:space="preserve">Enfoque de derechos · Enfoque de orientación al bien común</w:t>
            </w:r>
          </w:p>
        </w:tc>
      </w:tr>
    </w:tbl>
    <w:p/>
    <w:p>
      <w:pPr>
        <w:spacing w:after="120" w:before="240"/>
      </w:pPr>
      <w:r>
        <w:rPr>
          <w:rFonts w:ascii="Calibri" w:cs="Calibri" w:eastAsia="Calibri" w:hAnsi="Calibri"/>
          <w:b/>
          <w:bCs/>
          <w:color w:val="1D4ED8"/>
          <w:sz w:val="26"/>
          <w:szCs w:val="26"/>
        </w:rPr>
        <w:t xml:space="preserve">PROPÓSITO DE APRENDIZAJE</w:t>
      </w:r>
    </w:p>
    <w:p>
      <w:pPr>
        <w:spacing w:after="100"/>
      </w:pPr>
      <w:r>
        <w:rPr>
          <w:rFonts w:ascii="Calibri" w:cs="Calibri" w:eastAsia="Calibri" w:hAnsi="Calibri"/>
          <w:sz w:val="22"/>
          <w:szCs w:val="22"/>
        </w:rPr>
        <w:t xml:space="preserve">Que las y los estudiantes </w:t>
      </w:r>
      <w:r>
        <w:rPr>
          <w:rFonts w:ascii="Calibri" w:cs="Calibri" w:eastAsia="Calibri" w:hAnsi="Calibri"/>
          <w:b/>
          <w:bCs/>
          <w:sz w:val="22"/>
          <w:szCs w:val="22"/>
        </w:rPr>
        <w:t xml:space="preserve">identifiquen los derechos del niño</w:t>
      </w:r>
      <w:r>
        <w:rPr>
          <w:rFonts w:ascii="Calibri" w:cs="Calibri" w:eastAsia="Calibri" w:hAnsi="Calibri"/>
          <w:sz w:val="22"/>
          <w:szCs w:val="22"/>
        </w:rPr>
        <w:t xml:space="preserve"> establecidos en la Convención y propongan acciones para defenderlos en su entorno.</w:t>
      </w:r>
    </w:p>
    <w:p>
      <w:pPr>
        <w:spacing w:after="120" w:before="240"/>
      </w:pPr>
      <w:r>
        <w:rPr>
          <w:rFonts w:ascii="Calibri" w:cs="Calibri" w:eastAsia="Calibri" w:hAnsi="Calibri"/>
          <w:b/>
          <w:bCs/>
          <w:color w:val="1D4ED8"/>
          <w:sz w:val="26"/>
          <w:szCs w:val="26"/>
        </w:rPr>
        <w:t xml:space="preserve">SITUACIÓN SIGNIFICATIVA</w:t>
      </w:r>
    </w:p>
    <w:p>
      <w:pPr>
        <w:spacing w:after="100"/>
      </w:pPr>
      <w:r>
        <w:rPr>
          <w:rFonts w:ascii="Calibri" w:cs="Calibri" w:eastAsia="Calibri" w:hAnsi="Calibri"/>
          <w:sz w:val="22"/>
          <w:szCs w:val="22"/>
        </w:rPr>
        <w:t xml:space="preserve">En el Perú aún hay niños que trabajan en lugar de estudiar, niños que no reciben buena alimentación, niños víctimas de violencia. ¿Sabemos cuáles son nuestros derechos? ¿Qué podemos hacer cuando los vemos vulnerados?</w:t>
      </w:r>
    </w:p>
    <w:p>
      <w:pPr>
        <w:spacing w:after="120" w:before="240"/>
      </w:pPr>
      <w:r>
        <w:rPr>
          <w:rFonts w:ascii="Calibri" w:cs="Calibri" w:eastAsia="Calibri" w:hAnsi="Calibri"/>
          <w:b/>
          <w:bCs/>
          <w:color w:val="1D4ED8"/>
          <w:sz w:val="26"/>
          <w:szCs w:val="26"/>
        </w:rPr>
        <w:t xml:space="preserve">SECUENCIA DIDÁCTICA — PERSONAL SOCIAL</w:t>
      </w:r>
    </w:p>
    <w:p>
      <w:pPr>
        <w:spacing w:after="90" w:before="180"/>
      </w:pPr>
      <w:r>
        <w:rPr>
          <w:rFonts w:ascii="Calibri" w:cs="Calibri" w:eastAsia="Calibri" w:hAnsi="Calibri"/>
          <w:b/>
          <w:bCs/>
          <w:sz w:val="24"/>
          <w:szCs w:val="24"/>
        </w:rPr>
        <w:t xml:space="preserve">Inicio (15 min)</w:t>
      </w:r>
    </w:p>
    <w:p>
      <w:pPr>
        <w:pStyle w:val="ListParagraph"/>
        <w:numPr>
          <w:ilvl w:val="0"/>
          <w:numId w:val="1"/>
        </w:numPr>
        <w:spacing w:after="40"/>
      </w:pPr>
      <w:r>
        <w:rPr>
          <w:rFonts w:ascii="Calibri" w:cs="Calibri" w:eastAsia="Calibri" w:hAnsi="Calibri"/>
          <w:sz w:val="22"/>
          <w:szCs w:val="22"/>
        </w:rPr>
        <w:t xml:space="preserve">Mostramos imágenes anonimizadas de niños en diferentes situaciones (estudiando, jugando, trabajando, en consulta médica, en una mesa familiar).</w:t>
      </w:r>
    </w:p>
    <w:p>
      <w:pPr>
        <w:pStyle w:val="ListParagraph"/>
        <w:numPr>
          <w:ilvl w:val="0"/>
          <w:numId w:val="1"/>
        </w:numPr>
        <w:spacing w:after="40"/>
      </w:pPr>
      <w:r>
        <w:rPr>
          <w:rFonts w:ascii="Calibri" w:cs="Calibri" w:eastAsia="Calibri" w:hAnsi="Calibri"/>
          <w:sz w:val="22"/>
          <w:szCs w:val="22"/>
        </w:rPr>
        <w:t xml:space="preserve">¿Cuáles muestran derechos cumplidos? ¿Cuáles no?</w:t>
      </w:r>
    </w:p>
    <w:p>
      <w:pPr>
        <w:spacing w:after="90" w:before="180"/>
      </w:pPr>
      <w:r>
        <w:rPr>
          <w:rFonts w:ascii="Calibri" w:cs="Calibri" w:eastAsia="Calibri" w:hAnsi="Calibri"/>
          <w:b/>
          <w:bCs/>
          <w:sz w:val="24"/>
          <w:szCs w:val="24"/>
        </w:rPr>
        <w:t xml:space="preserve">Desarrollo (60 min)</w:t>
      </w:r>
    </w:p>
    <w:p>
      <w:pPr>
        <w:spacing w:after="100"/>
      </w:pPr>
      <w:r>
        <w:rPr>
          <w:rFonts w:ascii="Calibri" w:cs="Calibri" w:eastAsia="Calibri" w:hAnsi="Calibri"/>
          <w:b/>
          <w:bCs/>
          <w:sz w:val="22"/>
          <w:szCs w:val="22"/>
        </w:rPr>
        <w:t xml:space="preserve">Problematización (15 min):</w:t>
      </w:r>
      <w:r>
        <w:rPr>
          <w:rFonts w:ascii="Calibri" w:cs="Calibri" w:eastAsia="Calibri" w:hAnsi="Calibri"/>
          <w:sz w:val="22"/>
          <w:szCs w:val="22"/>
        </w:rPr>
        <w:t xml:space="preserve"> La docente presenta los 10 derechos fundamentales del niño según la Convención (ONU 1989, ratificada por Perú):</w:t>
      </w:r>
    </w:p>
    <w:p>
      <w:pPr>
        <w:pStyle w:val="ListParagraph"/>
        <w:numPr>
          <w:ilvl w:val="0"/>
          <w:numId w:val="1"/>
        </w:numPr>
        <w:spacing w:after="40"/>
      </w:pPr>
      <w:r>
        <w:rPr>
          <w:rFonts w:ascii="Calibri" w:cs="Calibri" w:eastAsia="Calibri" w:hAnsi="Calibri"/>
          <w:sz w:val="22"/>
          <w:szCs w:val="22"/>
        </w:rPr>
        <w:t xml:space="preserve">A la vida</w:t>
      </w:r>
    </w:p>
    <w:p>
      <w:pPr>
        <w:pStyle w:val="ListParagraph"/>
        <w:numPr>
          <w:ilvl w:val="0"/>
          <w:numId w:val="1"/>
        </w:numPr>
        <w:spacing w:after="40"/>
      </w:pPr>
      <w:r>
        <w:rPr>
          <w:rFonts w:ascii="Calibri" w:cs="Calibri" w:eastAsia="Calibri" w:hAnsi="Calibri"/>
          <w:sz w:val="22"/>
          <w:szCs w:val="22"/>
        </w:rPr>
        <w:t xml:space="preserve">A un nombre y nacionalidad</w:t>
      </w:r>
    </w:p>
    <w:p>
      <w:pPr>
        <w:pStyle w:val="ListParagraph"/>
        <w:numPr>
          <w:ilvl w:val="0"/>
          <w:numId w:val="1"/>
        </w:numPr>
        <w:spacing w:after="40"/>
      </w:pPr>
      <w:r>
        <w:rPr>
          <w:rFonts w:ascii="Calibri" w:cs="Calibri" w:eastAsia="Calibri" w:hAnsi="Calibri"/>
          <w:sz w:val="22"/>
          <w:szCs w:val="22"/>
        </w:rPr>
        <w:t xml:space="preserve">A la educación</w:t>
      </w:r>
    </w:p>
    <w:p>
      <w:pPr>
        <w:pStyle w:val="ListParagraph"/>
        <w:numPr>
          <w:ilvl w:val="0"/>
          <w:numId w:val="1"/>
        </w:numPr>
        <w:spacing w:after="40"/>
      </w:pPr>
      <w:r>
        <w:rPr>
          <w:rFonts w:ascii="Calibri" w:cs="Calibri" w:eastAsia="Calibri" w:hAnsi="Calibri"/>
          <w:sz w:val="22"/>
          <w:szCs w:val="22"/>
        </w:rPr>
        <w:t xml:space="preserve">A la salud</w:t>
      </w:r>
    </w:p>
    <w:p>
      <w:pPr>
        <w:pStyle w:val="ListParagraph"/>
        <w:numPr>
          <w:ilvl w:val="0"/>
          <w:numId w:val="1"/>
        </w:numPr>
        <w:spacing w:after="40"/>
      </w:pPr>
      <w:r>
        <w:rPr>
          <w:rFonts w:ascii="Calibri" w:cs="Calibri" w:eastAsia="Calibri" w:hAnsi="Calibri"/>
          <w:sz w:val="22"/>
          <w:szCs w:val="22"/>
        </w:rPr>
        <w:t xml:space="preserve">A la alimentación</w:t>
      </w:r>
    </w:p>
    <w:p>
      <w:pPr>
        <w:pStyle w:val="ListParagraph"/>
        <w:numPr>
          <w:ilvl w:val="0"/>
          <w:numId w:val="1"/>
        </w:numPr>
        <w:spacing w:after="40"/>
      </w:pPr>
      <w:r>
        <w:rPr>
          <w:rFonts w:ascii="Calibri" w:cs="Calibri" w:eastAsia="Calibri" w:hAnsi="Calibri"/>
          <w:sz w:val="22"/>
          <w:szCs w:val="22"/>
        </w:rPr>
        <w:t xml:space="preserve">A la familia</w:t>
      </w:r>
    </w:p>
    <w:p>
      <w:pPr>
        <w:pStyle w:val="ListParagraph"/>
        <w:numPr>
          <w:ilvl w:val="0"/>
          <w:numId w:val="1"/>
        </w:numPr>
        <w:spacing w:after="40"/>
      </w:pPr>
      <w:r>
        <w:rPr>
          <w:rFonts w:ascii="Calibri" w:cs="Calibri" w:eastAsia="Calibri" w:hAnsi="Calibri"/>
          <w:sz w:val="22"/>
          <w:szCs w:val="22"/>
        </w:rPr>
        <w:t xml:space="preserve">A jugar y descansar</w:t>
      </w:r>
    </w:p>
    <w:p>
      <w:pPr>
        <w:pStyle w:val="ListParagraph"/>
        <w:numPr>
          <w:ilvl w:val="0"/>
          <w:numId w:val="1"/>
        </w:numPr>
        <w:spacing w:after="40"/>
      </w:pPr>
      <w:r>
        <w:rPr>
          <w:rFonts w:ascii="Calibri" w:cs="Calibri" w:eastAsia="Calibri" w:hAnsi="Calibri"/>
          <w:sz w:val="22"/>
          <w:szCs w:val="22"/>
        </w:rPr>
        <w:t xml:space="preserve">A expresar opinión</w:t>
      </w:r>
    </w:p>
    <w:p>
      <w:pPr>
        <w:pStyle w:val="ListParagraph"/>
        <w:numPr>
          <w:ilvl w:val="0"/>
          <w:numId w:val="1"/>
        </w:numPr>
        <w:spacing w:after="40"/>
      </w:pPr>
      <w:r>
        <w:rPr>
          <w:rFonts w:ascii="Calibri" w:cs="Calibri" w:eastAsia="Calibri" w:hAnsi="Calibri"/>
          <w:sz w:val="22"/>
          <w:szCs w:val="22"/>
        </w:rPr>
        <w:t xml:space="preserve">A protección contra violencia</w:t>
      </w:r>
    </w:p>
    <w:p>
      <w:pPr>
        <w:pStyle w:val="ListParagraph"/>
        <w:numPr>
          <w:ilvl w:val="0"/>
          <w:numId w:val="1"/>
        </w:numPr>
        <w:spacing w:after="40"/>
      </w:pPr>
      <w:r>
        <w:rPr>
          <w:rFonts w:ascii="Calibri" w:cs="Calibri" w:eastAsia="Calibri" w:hAnsi="Calibri"/>
          <w:sz w:val="22"/>
          <w:szCs w:val="22"/>
        </w:rPr>
        <w:t xml:space="preserve">A igualdad sin discriminación</w:t>
      </w:r>
    </w:p>
    <w:p>
      <w:pPr>
        <w:spacing w:after="100"/>
      </w:pPr>
      <w:r>
        <w:rPr>
          <w:rFonts w:ascii="Calibri" w:cs="Calibri" w:eastAsia="Calibri" w:hAnsi="Calibri"/>
          <w:b/>
          <w:bCs/>
          <w:sz w:val="22"/>
          <w:szCs w:val="22"/>
        </w:rPr>
        <w:t xml:space="preserve">Análisis (25 min):</w:t>
      </w:r>
      <w:r>
        <w:rPr>
          <w:rFonts w:ascii="Calibri" w:cs="Calibri" w:eastAsia="Calibri" w:hAnsi="Calibri"/>
          <w:sz w:val="22"/>
          <w:szCs w:val="22"/>
        </w:rPr>
        <w:t xml:space="preserve"> En grupos de 4-5, cada grupo recibe un caso peruano real anonimizado:</w:t>
      </w:r>
    </w:p>
    <w:p>
      <w:pPr>
        <w:pStyle w:val="ListParagraph"/>
        <w:numPr>
          <w:ilvl w:val="0"/>
          <w:numId w:val="1"/>
        </w:numPr>
        <w:spacing w:after="40"/>
      </w:pPr>
      <w:r>
        <w:rPr>
          <w:rFonts w:ascii="Calibri" w:cs="Calibri" w:eastAsia="Calibri" w:hAnsi="Calibri"/>
          <w:sz w:val="22"/>
          <w:szCs w:val="22"/>
        </w:rPr>
        <w:t xml:space="preserve">Niño en zona minera trabajando.</w:t>
      </w:r>
    </w:p>
    <w:p>
      <w:pPr>
        <w:pStyle w:val="ListParagraph"/>
        <w:numPr>
          <w:ilvl w:val="0"/>
          <w:numId w:val="1"/>
        </w:numPr>
        <w:spacing w:after="40"/>
      </w:pPr>
      <w:r>
        <w:rPr>
          <w:rFonts w:ascii="Calibri" w:cs="Calibri" w:eastAsia="Calibri" w:hAnsi="Calibri"/>
          <w:sz w:val="22"/>
          <w:szCs w:val="22"/>
        </w:rPr>
        <w:t xml:space="preserve">Niña sin acceso a colegio rural.</w:t>
      </w:r>
    </w:p>
    <w:p>
      <w:pPr>
        <w:pStyle w:val="ListParagraph"/>
        <w:numPr>
          <w:ilvl w:val="0"/>
          <w:numId w:val="1"/>
        </w:numPr>
        <w:spacing w:after="40"/>
      </w:pPr>
      <w:r>
        <w:rPr>
          <w:rFonts w:ascii="Calibri" w:cs="Calibri" w:eastAsia="Calibri" w:hAnsi="Calibri"/>
          <w:sz w:val="22"/>
          <w:szCs w:val="22"/>
        </w:rPr>
        <w:t xml:space="preserve">Niño víctima de bullying escolar.</w:t>
      </w:r>
    </w:p>
    <w:p>
      <w:pPr>
        <w:pStyle w:val="ListParagraph"/>
        <w:numPr>
          <w:ilvl w:val="0"/>
          <w:numId w:val="1"/>
        </w:numPr>
        <w:spacing w:after="40"/>
      </w:pPr>
      <w:r>
        <w:rPr>
          <w:rFonts w:ascii="Calibri" w:cs="Calibri" w:eastAsia="Calibri" w:hAnsi="Calibri"/>
          <w:sz w:val="22"/>
          <w:szCs w:val="22"/>
        </w:rPr>
        <w:t xml:space="preserve">Niño con discapacidad sin adaptaciones.</w:t>
      </w:r>
    </w:p>
    <w:p>
      <w:pPr>
        <w:pStyle w:val="ListParagraph"/>
        <w:numPr>
          <w:ilvl w:val="0"/>
          <w:numId w:val="1"/>
        </w:numPr>
        <w:spacing w:after="40"/>
      </w:pPr>
      <w:r>
        <w:rPr>
          <w:rFonts w:ascii="Calibri" w:cs="Calibri" w:eastAsia="Calibri" w:hAnsi="Calibri"/>
          <w:sz w:val="22"/>
          <w:szCs w:val="22"/>
        </w:rPr>
        <w:t xml:space="preserve">Niña embarazada adolescente.</w:t>
      </w:r>
    </w:p>
    <w:p>
      <w:pPr>
        <w:spacing w:after="100"/>
      </w:pPr>
      <w:r>
        <w:rPr>
          <w:rFonts w:ascii="Calibri" w:cs="Calibri" w:eastAsia="Calibri" w:hAnsi="Calibri"/>
          <w:sz w:val="22"/>
          <w:szCs w:val="22"/>
        </w:rPr>
        <w:t xml:space="preserve">Analizan:</w:t>
      </w:r>
    </w:p>
    <w:p>
      <w:pPr>
        <w:pStyle w:val="ListParagraph"/>
        <w:numPr>
          <w:ilvl w:val="0"/>
          <w:numId w:val="1"/>
        </w:numPr>
        <w:spacing w:after="40"/>
      </w:pPr>
      <w:r>
        <w:rPr>
          <w:rFonts w:ascii="Calibri" w:cs="Calibri" w:eastAsia="Calibri" w:hAnsi="Calibri"/>
          <w:sz w:val="22"/>
          <w:szCs w:val="22"/>
        </w:rPr>
        <w:t xml:space="preserve">¿Qué derecho se vulnera?</w:t>
      </w:r>
    </w:p>
    <w:p>
      <w:pPr>
        <w:pStyle w:val="ListParagraph"/>
        <w:numPr>
          <w:ilvl w:val="0"/>
          <w:numId w:val="1"/>
        </w:numPr>
        <w:spacing w:after="40"/>
      </w:pPr>
      <w:r>
        <w:rPr>
          <w:rFonts w:ascii="Calibri" w:cs="Calibri" w:eastAsia="Calibri" w:hAnsi="Calibri"/>
          <w:sz w:val="22"/>
          <w:szCs w:val="22"/>
        </w:rPr>
        <w:t xml:space="preserve">¿Quién es responsable?</w:t>
      </w:r>
    </w:p>
    <w:p>
      <w:pPr>
        <w:pStyle w:val="ListParagraph"/>
        <w:numPr>
          <w:ilvl w:val="0"/>
          <w:numId w:val="1"/>
        </w:numPr>
        <w:spacing w:after="40"/>
      </w:pPr>
      <w:r>
        <w:rPr>
          <w:rFonts w:ascii="Calibri" w:cs="Calibri" w:eastAsia="Calibri" w:hAnsi="Calibri"/>
          <w:sz w:val="22"/>
          <w:szCs w:val="22"/>
        </w:rPr>
        <w:t xml:space="preserve">¿Qué se podría hacer?</w:t>
      </w:r>
    </w:p>
    <w:p>
      <w:pPr>
        <w:spacing w:after="100"/>
      </w:pPr>
      <w:r>
        <w:rPr>
          <w:rFonts w:ascii="Calibri" w:cs="Calibri" w:eastAsia="Calibri" w:hAnsi="Calibri"/>
          <w:b/>
          <w:bCs/>
          <w:sz w:val="22"/>
          <w:szCs w:val="22"/>
        </w:rPr>
        <w:t xml:space="preserve">Toma de decisiones (20 min):</w:t>
      </w:r>
    </w:p>
    <w:p>
      <w:pPr>
        <w:pStyle w:val="ListParagraph"/>
        <w:numPr>
          <w:ilvl w:val="0"/>
          <w:numId w:val="1"/>
        </w:numPr>
        <w:spacing w:after="40"/>
      </w:pPr>
      <w:r>
        <w:rPr>
          <w:rFonts w:ascii="Calibri" w:cs="Calibri" w:eastAsia="Calibri" w:hAnsi="Calibri"/>
          <w:sz w:val="22"/>
          <w:szCs w:val="22"/>
        </w:rPr>
        <w:t xml:space="preserve">Cada grupo propone 2-3 acciones concretas.</w:t>
      </w:r>
    </w:p>
    <w:p>
      <w:pPr>
        <w:pStyle w:val="ListParagraph"/>
        <w:numPr>
          <w:ilvl w:val="0"/>
          <w:numId w:val="1"/>
        </w:numPr>
        <w:spacing w:after="40"/>
      </w:pPr>
      <w:r>
        <w:rPr>
          <w:rFonts w:ascii="Calibri" w:cs="Calibri" w:eastAsia="Calibri" w:hAnsi="Calibri"/>
          <w:sz w:val="22"/>
          <w:szCs w:val="22"/>
        </w:rPr>
        <w:t xml:space="preserve">Construimos un mural del aula con los derechos del niño + nuestros compromisos.</w:t>
      </w:r>
    </w:p>
    <w:p>
      <w:pPr>
        <w:pStyle w:val="ListParagraph"/>
        <w:numPr>
          <w:ilvl w:val="0"/>
          <w:numId w:val="1"/>
        </w:numPr>
        <w:spacing w:after="40"/>
      </w:pPr>
      <w:r>
        <w:rPr>
          <w:rFonts w:ascii="Calibri" w:cs="Calibri" w:eastAsia="Calibri" w:hAnsi="Calibri"/>
          <w:sz w:val="22"/>
          <w:szCs w:val="22"/>
        </w:rPr>
        <w:t xml:space="preserve">Cada estudiante escribe en su cuaderno un plan personal: ¿qué haré yo esta semana para defender derechos?</w:t>
      </w:r>
    </w:p>
    <w:p>
      <w:pPr>
        <w:spacing w:after="90" w:before="180"/>
      </w:pPr>
      <w:r>
        <w:rPr>
          <w:rFonts w:ascii="Calibri" w:cs="Calibri" w:eastAsia="Calibri" w:hAnsi="Calibri"/>
          <w:b/>
          <w:bCs/>
          <w:sz w:val="24"/>
          <w:szCs w:val="24"/>
        </w:rPr>
        <w:t xml:space="preserve">Cierre (15 min)</w:t>
      </w:r>
    </w:p>
    <w:p>
      <w:pPr>
        <w:pStyle w:val="ListParagraph"/>
        <w:numPr>
          <w:ilvl w:val="0"/>
          <w:numId w:val="1"/>
        </w:numPr>
        <w:spacing w:after="40"/>
      </w:pPr>
      <w:r>
        <w:rPr>
          <w:rFonts w:ascii="Calibri" w:cs="Calibri" w:eastAsia="Calibri" w:hAnsi="Calibri"/>
          <w:sz w:val="22"/>
          <w:szCs w:val="22"/>
        </w:rPr>
        <w:t xml:space="preserve">Compartimos compromisos.</w:t>
      </w:r>
    </w:p>
    <w:p>
      <w:pPr>
        <w:pStyle w:val="ListParagraph"/>
        <w:numPr>
          <w:ilvl w:val="0"/>
          <w:numId w:val="1"/>
        </w:numPr>
        <w:spacing w:after="40"/>
      </w:pPr>
      <w:r>
        <w:rPr>
          <w:rFonts w:ascii="Calibri" w:cs="Calibri" w:eastAsia="Calibri" w:hAnsi="Calibri"/>
          <w:sz w:val="22"/>
          <w:szCs w:val="22"/>
        </w:rPr>
        <w:t xml:space="preserve">Información práctica: línea 1810 (denuncia maltrato), Defensoría Municipal del Niño (DEMUNA).</w:t>
      </w:r>
    </w:p>
    <w:p>
      <w:pPr>
        <w:pStyle w:val="ListParagraph"/>
        <w:numPr>
          <w:ilvl w:val="0"/>
          <w:numId w:val="1"/>
        </w:numPr>
        <w:spacing w:after="40"/>
      </w:pPr>
      <w:r>
        <w:rPr>
          <w:rFonts w:ascii="Calibri" w:cs="Calibri" w:eastAsia="Calibri" w:hAnsi="Calibri"/>
          <w:b/>
          <w:bCs/>
          <w:sz w:val="22"/>
          <w:szCs w:val="22"/>
        </w:rPr>
        <w:t xml:space="preserve">Metacognición:</w:t>
      </w:r>
      <w:r>
        <w:rPr>
          <w:rFonts w:ascii="Calibri" w:cs="Calibri" w:eastAsia="Calibri" w:hAnsi="Calibri"/>
          <w:sz w:val="22"/>
          <w:szCs w:val="22"/>
        </w:rPr>
        <w:t xml:space="preserve"> ¿Por qué es importante conocer nuestros derechos? ¿Cómo me siento siendo defensor de derechos?</w:t>
      </w:r>
    </w:p>
    <w:p>
      <w:pPr>
        <w:spacing w:after="120" w:before="240"/>
      </w:pPr>
      <w:r>
        <w:rPr>
          <w:rFonts w:ascii="Calibri" w:cs="Calibri" w:eastAsia="Calibri" w:hAnsi="Calibri"/>
          <w:b/>
          <w:bCs/>
          <w:color w:val="1D4ED8"/>
          <w:sz w:val="26"/>
          <w:szCs w:val="26"/>
        </w:rPr>
        <w:t xml:space="preserve">ANEXOS</w:t>
      </w:r>
    </w:p>
    <w:p>
      <w:pPr>
        <w:pStyle w:val="ListParagraph"/>
        <w:numPr>
          <w:ilvl w:val="0"/>
          <w:numId w:val="1"/>
        </w:numPr>
        <w:spacing w:after="40"/>
      </w:pPr>
      <w:r>
        <w:rPr>
          <w:rFonts w:ascii="Calibri" w:cs="Calibri" w:eastAsia="Calibri" w:hAnsi="Calibri"/>
          <w:sz w:val="22"/>
          <w:szCs w:val="22"/>
        </w:rPr>
        <w:t xml:space="preserve">`sesion.docx` · 2. `casos_anonimizados.pdf` · 3. `mural_derechos.pdf` · 4. `rubrica_deliberacion.xlsx`</w:t>
      </w:r>
    </w:p>
    <w:p>
      <w:pPr>
        <w:spacing w:before="240"/>
      </w:pPr>
    </w:p>
    <w:p>
      <w:pPr>
        <w:jc w:val="center"/>
      </w:pPr>
      <w:r>
        <w:rPr>
          <w:rFonts w:ascii="Calibri" w:cs="Calibri" w:eastAsia="Calibri" w:hAnsi="Calibri"/>
          <w:i/>
          <w:iCs/>
          <w:color w:val="475569"/>
          <w:sz w:val="16"/>
          <w:szCs w:val="16"/>
        </w:rPr>
        <w:t xml:space="preserve">Descargado de paraclases.com — recursos gratuitos para docentes peruanos. Alineado a la Norma Técnica MINEDU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2026-09-07T15:24:25.560Z</dcterms:created>
  <dcterms:modified xsi:type="dcterms:W3CDTF">2026-09-07T15:24:25.560Z</dcterms:modified>
</cp:coreProperties>
</file>

<file path=docProps/custom.xml><?xml version="1.0" encoding="utf-8"?>
<Properties xmlns="http://schemas.openxmlformats.org/officeDocument/2006/custom-properties" xmlns:vt="http://schemas.openxmlformats.org/officeDocument/2006/docPropsVTypes"/>
</file>